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6A" w:rsidRDefault="008C60E5">
      <w:pPr>
        <w:pStyle w:val="1"/>
        <w:spacing w:before="0"/>
      </w:pPr>
      <w:r>
        <w:t>Показатели</w:t>
      </w:r>
      <w:r w:rsidR="00C109C9">
        <w:t xml:space="preserve"> </w:t>
      </w:r>
      <w:bookmarkStart w:id="0" w:name="_GoBack"/>
      <w:bookmarkEnd w:id="0"/>
      <w:r>
        <w:t xml:space="preserve">деятельности </w:t>
      </w:r>
      <w:r w:rsidR="00C62635">
        <w:t>МБУДО «Ольгинский ЦДТ»</w:t>
      </w:r>
      <w:r>
        <w:t xml:space="preserve">, подлежащей </w:t>
      </w:r>
      <w:proofErr w:type="spellStart"/>
      <w:r>
        <w:t>самообследованию</w:t>
      </w:r>
      <w:proofErr w:type="spellEnd"/>
      <w:r>
        <w:t xml:space="preserve"> </w:t>
      </w:r>
      <w:r>
        <w:br/>
        <w:t>(утв. приказом Министерства образования и науки РФ от 10 декабря 2013 г. № 1324)</w:t>
      </w:r>
    </w:p>
    <w:p w:rsidR="0095036A" w:rsidRDefault="0095036A"/>
    <w:tbl>
      <w:tblPr>
        <w:tblW w:w="152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56"/>
        <w:gridCol w:w="2379"/>
      </w:tblGrid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95036A">
            <w:pPr>
              <w:pStyle w:val="a3"/>
              <w:spacing w:line="276" w:lineRule="auto"/>
              <w:jc w:val="center"/>
            </w:pP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Общая численность учащихся,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C62635" w:rsidP="00C62635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213</w:t>
            </w:r>
            <w:r w:rsidR="008C60E5">
              <w:rPr>
                <w:bCs/>
              </w:rPr>
              <w:t xml:space="preserve"> человек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1.1.1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Детей дошкольного возраста (5-6 лет)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C62635">
            <w:pPr>
              <w:pStyle w:val="a3"/>
              <w:spacing w:line="276" w:lineRule="auto"/>
              <w:jc w:val="center"/>
            </w:pPr>
            <w:r>
              <w:t>20</w:t>
            </w:r>
            <w:r w:rsidR="008C60E5">
              <w:t xml:space="preserve"> человек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1.1.2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Детей младшего школьного возраста (7-10 лет)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C62635" w:rsidP="00C62635">
            <w:pPr>
              <w:pStyle w:val="a3"/>
              <w:spacing w:line="276" w:lineRule="auto"/>
              <w:jc w:val="center"/>
            </w:pPr>
            <w:r>
              <w:t>116</w:t>
            </w:r>
            <w:r w:rsidR="008C60E5">
              <w:t xml:space="preserve"> чел</w:t>
            </w:r>
            <w:r>
              <w:t>овек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1.1.3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Детей среднего школьного возраста (11-14 лет)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C62635">
            <w:pPr>
              <w:pStyle w:val="a3"/>
              <w:spacing w:line="276" w:lineRule="auto"/>
              <w:jc w:val="center"/>
            </w:pPr>
            <w:r>
              <w:t>68</w:t>
            </w:r>
            <w:r w:rsidR="008C60E5">
              <w:t xml:space="preserve"> человек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1.1.4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 xml:space="preserve">Детей старшего школьного возраста  (15-18 лет)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C62635">
            <w:pPr>
              <w:pStyle w:val="a3"/>
              <w:spacing w:line="276" w:lineRule="auto"/>
              <w:jc w:val="center"/>
            </w:pPr>
            <w:r>
              <w:t>9</w:t>
            </w:r>
            <w:r w:rsidR="00FB1940">
              <w:t xml:space="preserve"> </w:t>
            </w:r>
            <w:r w:rsidR="008C60E5">
              <w:t>человек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A66DBE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C62635" w:rsidP="00C109C9">
            <w:pPr>
              <w:pStyle w:val="a3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FB1940">
              <w:rPr>
                <w:bCs/>
              </w:rPr>
              <w:t xml:space="preserve"> чел./ </w:t>
            </w:r>
            <w:r w:rsidR="00C109C9">
              <w:rPr>
                <w:bCs/>
              </w:rPr>
              <w:t>8</w:t>
            </w:r>
            <w:r w:rsidR="008C60E5">
              <w:rPr>
                <w:bCs/>
              </w:rPr>
              <w:t>%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1.6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A66DBE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1.6.1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Учащиеся с ограниченными возможностями здоровья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C109C9" w:rsidP="00C109C9">
            <w:pPr>
              <w:pStyle w:val="a3"/>
              <w:spacing w:line="276" w:lineRule="auto"/>
              <w:jc w:val="center"/>
            </w:pPr>
            <w:r>
              <w:t>7</w:t>
            </w:r>
            <w:r w:rsidR="00FB1940">
              <w:t xml:space="preserve"> чел./ 3</w:t>
            </w:r>
            <w:r>
              <w:t>,3</w:t>
            </w:r>
            <w:r w:rsidR="008C60E5">
              <w:t>%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1.6.2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 xml:space="preserve">Дети-сироты, дети, оставшиеся без попечения родителей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C62635" w:rsidP="00FB1940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1.6.3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Дети-мигранты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1.6.4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Дети, попавшие в трудную жизненную ситуацию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95036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  <w:jc w:val="center"/>
            </w:pPr>
            <w:r>
              <w:t>1.7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8C60E5">
            <w:pPr>
              <w:pStyle w:val="a3"/>
              <w:spacing w:line="276" w:lineRule="auto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6A" w:rsidRDefault="00C62635" w:rsidP="00C62635">
            <w:pPr>
              <w:pStyle w:val="a3"/>
              <w:spacing w:line="276" w:lineRule="auto"/>
              <w:jc w:val="center"/>
            </w:pPr>
            <w:r>
              <w:t>2</w:t>
            </w:r>
            <w:r w:rsidR="00FB1940">
              <w:t xml:space="preserve"> чел./</w:t>
            </w:r>
            <w:r>
              <w:t>1</w:t>
            </w:r>
            <w:r w:rsidR="008C60E5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1.8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62635" w:rsidP="00C62635">
            <w:pPr>
              <w:pStyle w:val="a3"/>
              <w:spacing w:line="360" w:lineRule="auto"/>
              <w:jc w:val="center"/>
            </w:pPr>
            <w:r>
              <w:t>213</w:t>
            </w:r>
            <w:r w:rsidR="00302874">
              <w:t>/</w:t>
            </w:r>
            <w:r>
              <w:t>100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1.8.1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муниципальном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62635" w:rsidP="00C62635">
            <w:r>
              <w:t>213</w:t>
            </w:r>
            <w:r w:rsidR="00302874">
              <w:t>/</w:t>
            </w:r>
            <w:r>
              <w:t>100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1.8.2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региональном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109C9" w:rsidP="00C62635"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1.8.3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краевом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109C9" w:rsidP="00CC25C3">
            <w:r>
              <w:t>21/10%</w:t>
            </w:r>
            <w:r w:rsidR="00C62635"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1.8.4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всероссийском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62635" w:rsidP="00CC25C3">
            <w:r>
              <w:t>66</w:t>
            </w:r>
            <w:r w:rsidR="00302874">
              <w:t>/31%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1.8.5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международном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62635" w:rsidP="00C62635">
            <w:r>
              <w:t>19</w:t>
            </w:r>
            <w:r w:rsidR="00302874">
              <w:t>/</w:t>
            </w:r>
            <w:r>
              <w:t>9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lastRenderedPageBreak/>
              <w:t>1.9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62635" w:rsidP="00CC25C3">
            <w:pPr>
              <w:pStyle w:val="a3"/>
              <w:spacing w:line="276" w:lineRule="auto"/>
              <w:jc w:val="center"/>
            </w:pPr>
            <w:r>
              <w:t>71</w:t>
            </w:r>
            <w:r w:rsidR="00302874">
              <w:t>/33%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1.9.1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муниципальном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81/19%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1.9.2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региональном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109C9" w:rsidP="00C62635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1.9.3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краевом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109C9" w:rsidP="00CC25C3">
            <w:pPr>
              <w:pStyle w:val="a3"/>
              <w:spacing w:line="276" w:lineRule="auto"/>
              <w:jc w:val="center"/>
            </w:pPr>
            <w:r>
              <w:t>21/10%</w:t>
            </w:r>
            <w:r w:rsidR="00C62635"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1.9.4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всероссийском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62635" w:rsidP="00C62635">
            <w:pPr>
              <w:pStyle w:val="a3"/>
              <w:spacing w:line="276" w:lineRule="auto"/>
              <w:jc w:val="center"/>
            </w:pPr>
            <w:r>
              <w:t>43</w:t>
            </w:r>
            <w:r w:rsidR="00302874">
              <w:t>/2</w:t>
            </w:r>
            <w:r>
              <w:t>0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1.9.5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международном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62635" w:rsidP="00C62635">
            <w:pPr>
              <w:pStyle w:val="a3"/>
              <w:spacing w:line="276" w:lineRule="auto"/>
              <w:jc w:val="center"/>
            </w:pPr>
            <w:r>
              <w:t>19</w:t>
            </w:r>
            <w:r w:rsidR="00302874">
              <w:t>/</w:t>
            </w:r>
            <w:r>
              <w:t>9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1.10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109C9" w:rsidP="00A66DBE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1.10.1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Муниципального уровня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109C9" w:rsidP="00A66DBE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1.10.2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Регионального уровня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CC25C3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1.10.3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Межрегионального уровня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1.10.4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Федерального уровня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CC25C3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1.10.5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Международного уровня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CC25C3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CC25C3">
            <w:pPr>
              <w:pStyle w:val="a3"/>
              <w:spacing w:line="276" w:lineRule="auto"/>
              <w:jc w:val="center"/>
            </w:pPr>
            <w:r>
              <w:t>45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1.11.1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муниципальном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CC25C3">
            <w:pPr>
              <w:pStyle w:val="a3"/>
              <w:spacing w:line="276" w:lineRule="auto"/>
              <w:jc w:val="center"/>
            </w:pPr>
            <w:r>
              <w:t>45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1.11.2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региональном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CC25C3">
            <w:pPr>
              <w:pStyle w:val="a3"/>
              <w:spacing w:line="276" w:lineRule="auto"/>
              <w:jc w:val="center"/>
            </w:pPr>
            <w:r>
              <w:t>18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1.11.3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краевом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CC25C3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1.11.4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федеральном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1.11.5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</w:pPr>
            <w:r>
              <w:t>На международном уровне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 w:rsidP="00CC25C3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Общая численность педагогических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6</w:t>
            </w:r>
            <w:r w:rsidR="00302874">
              <w:t xml:space="preserve"> чел.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A66DBE">
            <w:pPr>
              <w:pStyle w:val="a3"/>
              <w:spacing w:line="276" w:lineRule="auto"/>
              <w:jc w:val="center"/>
            </w:pPr>
            <w:r>
              <w:t>3</w:t>
            </w:r>
            <w:r w:rsidR="00302874">
              <w:t xml:space="preserve"> чел./ </w:t>
            </w:r>
            <w:r>
              <w:t>50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A66DBE">
            <w:pPr>
              <w:pStyle w:val="a3"/>
              <w:spacing w:line="276" w:lineRule="auto"/>
              <w:jc w:val="center"/>
            </w:pPr>
            <w:r>
              <w:t>1</w:t>
            </w:r>
            <w:r w:rsidR="00302874">
              <w:t xml:space="preserve"> чел./ </w:t>
            </w:r>
            <w:r>
              <w:t>17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A66DBE">
            <w:pPr>
              <w:pStyle w:val="a3"/>
              <w:spacing w:line="276" w:lineRule="auto"/>
              <w:jc w:val="center"/>
            </w:pPr>
            <w:r>
              <w:t>3</w:t>
            </w:r>
            <w:r w:rsidR="00302874">
              <w:t xml:space="preserve"> чел./ </w:t>
            </w:r>
            <w:r>
              <w:t>50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1.16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1.17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A66DBE">
            <w:pPr>
              <w:pStyle w:val="a3"/>
              <w:spacing w:line="276" w:lineRule="auto"/>
              <w:jc w:val="center"/>
            </w:pPr>
            <w:r>
              <w:t>3</w:t>
            </w:r>
            <w:r w:rsidR="00302874">
              <w:t xml:space="preserve"> чел./ </w:t>
            </w:r>
            <w:r>
              <w:t>50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1.17.1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Высшая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lastRenderedPageBreak/>
              <w:t>1.17.2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Первая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A66DBE">
            <w:pPr>
              <w:pStyle w:val="a3"/>
              <w:spacing w:line="276" w:lineRule="auto"/>
              <w:jc w:val="center"/>
            </w:pPr>
            <w:r>
              <w:t>3</w:t>
            </w:r>
            <w:r w:rsidR="00302874">
              <w:t>чел./</w:t>
            </w:r>
            <w:r>
              <w:t>50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1.18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1.18.1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До 5 лет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A66DBE">
            <w:pPr>
              <w:pStyle w:val="a3"/>
              <w:spacing w:line="276" w:lineRule="auto"/>
              <w:jc w:val="center"/>
            </w:pPr>
            <w:r>
              <w:t>2</w:t>
            </w:r>
            <w:r w:rsidR="00302874">
              <w:t xml:space="preserve"> чел./ </w:t>
            </w:r>
            <w:r>
              <w:t>30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1.18.2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Свыше 30 лет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109C9" w:rsidP="00A66DBE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1.19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A66DBE">
            <w:pPr>
              <w:pStyle w:val="a3"/>
              <w:spacing w:line="276" w:lineRule="auto"/>
              <w:jc w:val="center"/>
            </w:pPr>
            <w:r>
              <w:t>1</w:t>
            </w:r>
            <w:r w:rsidR="00302874">
              <w:t xml:space="preserve"> чел./ </w:t>
            </w:r>
            <w:r>
              <w:t>17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1.20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A66DBE">
            <w:pPr>
              <w:pStyle w:val="a3"/>
              <w:spacing w:line="276" w:lineRule="auto"/>
              <w:jc w:val="center"/>
            </w:pPr>
            <w:r>
              <w:t>1</w:t>
            </w:r>
            <w:r w:rsidR="00302874">
              <w:t xml:space="preserve">чел./ </w:t>
            </w:r>
            <w:r>
              <w:t>17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1.21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A66DBE">
            <w:pPr>
              <w:pStyle w:val="a3"/>
              <w:spacing w:line="276" w:lineRule="auto"/>
              <w:jc w:val="center"/>
            </w:pPr>
            <w:r>
              <w:t>7</w:t>
            </w:r>
            <w:r w:rsidR="00302874">
              <w:t xml:space="preserve"> чел./ </w:t>
            </w:r>
            <w:r>
              <w:t>100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1.22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 w:rsidP="00A66DBE">
            <w:pPr>
              <w:pStyle w:val="a3"/>
              <w:spacing w:line="276" w:lineRule="auto"/>
              <w:jc w:val="center"/>
            </w:pPr>
            <w:r>
              <w:t>1</w:t>
            </w:r>
            <w:r w:rsidR="00302874">
              <w:t>/</w:t>
            </w:r>
            <w:r>
              <w:t>10</w:t>
            </w:r>
            <w:r w:rsidR="00302874">
              <w:t>%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1.23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1.23.1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За 3 года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24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1.23.2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За отчетный период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8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1.24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Инфраструктура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Количество компьютеров в расчете на одного учащегося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2.2.1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Учебный класс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6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2.2.2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Лаборатория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2.2.3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Мастерская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2.2.4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Танцевальный класс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2.2.5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Спортивный зал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2.2.6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Бассейн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2.3.1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Актовый зал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2.3.2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Концертный зал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lastRenderedPageBreak/>
              <w:t>2.3.3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Игровое помещение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2.6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Наличие читального зала библиотеки, в том числе: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2.6.1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2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2.6.2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C109C9">
            <w:pPr>
              <w:pStyle w:val="a3"/>
              <w:spacing w:line="276" w:lineRule="auto"/>
              <w:jc w:val="center"/>
            </w:pPr>
            <w:r>
              <w:t>2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2.6.3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2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2.6.4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2.6.5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С контролируемой распечаткой бумажных материалов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нет</w:t>
            </w:r>
          </w:p>
        </w:tc>
      </w:tr>
      <w:tr w:rsidR="0030287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  <w:jc w:val="center"/>
            </w:pPr>
            <w:r>
              <w:t>2.7</w:t>
            </w:r>
          </w:p>
        </w:tc>
        <w:tc>
          <w:tcPr>
            <w:tcW w:w="1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302874">
            <w:pPr>
              <w:pStyle w:val="a3"/>
              <w:spacing w:line="276" w:lineRule="auto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74" w:rsidRDefault="00A66DBE">
            <w:pPr>
              <w:pStyle w:val="a3"/>
              <w:spacing w:line="276" w:lineRule="auto"/>
              <w:jc w:val="center"/>
            </w:pPr>
            <w:r>
              <w:t>213/100%</w:t>
            </w:r>
          </w:p>
        </w:tc>
      </w:tr>
    </w:tbl>
    <w:p w:rsidR="0095036A" w:rsidRDefault="0095036A">
      <w:pPr>
        <w:ind w:firstLine="0"/>
      </w:pPr>
    </w:p>
    <w:p w:rsidR="0095036A" w:rsidRDefault="0095036A"/>
    <w:sectPr w:rsidR="0095036A">
      <w:pgSz w:w="16838" w:h="11906" w:orient="landscape"/>
      <w:pgMar w:top="568" w:right="253" w:bottom="709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B8" w:rsidRDefault="004779B8">
      <w:r>
        <w:separator/>
      </w:r>
    </w:p>
  </w:endnote>
  <w:endnote w:type="continuationSeparator" w:id="0">
    <w:p w:rsidR="004779B8" w:rsidRDefault="0047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B8" w:rsidRDefault="004779B8">
      <w:r>
        <w:separator/>
      </w:r>
    </w:p>
  </w:footnote>
  <w:footnote w:type="continuationSeparator" w:id="0">
    <w:p w:rsidR="004779B8" w:rsidRDefault="0047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FA6"/>
    <w:rsid w:val="000C1982"/>
    <w:rsid w:val="0010283D"/>
    <w:rsid w:val="001044F7"/>
    <w:rsid w:val="0013252A"/>
    <w:rsid w:val="00302874"/>
    <w:rsid w:val="00322415"/>
    <w:rsid w:val="004078F1"/>
    <w:rsid w:val="004779B8"/>
    <w:rsid w:val="004E084A"/>
    <w:rsid w:val="005779DA"/>
    <w:rsid w:val="00591FA6"/>
    <w:rsid w:val="0062491B"/>
    <w:rsid w:val="006859C3"/>
    <w:rsid w:val="00692286"/>
    <w:rsid w:val="00751A3F"/>
    <w:rsid w:val="00845335"/>
    <w:rsid w:val="008C60E5"/>
    <w:rsid w:val="00933B41"/>
    <w:rsid w:val="0095036A"/>
    <w:rsid w:val="00A66DBE"/>
    <w:rsid w:val="00B36502"/>
    <w:rsid w:val="00BB4BC5"/>
    <w:rsid w:val="00C109C9"/>
    <w:rsid w:val="00C62635"/>
    <w:rsid w:val="00CC744A"/>
    <w:rsid w:val="00CD6B1F"/>
    <w:rsid w:val="00CF5CC7"/>
    <w:rsid w:val="00DD599D"/>
    <w:rsid w:val="00FB1940"/>
    <w:rsid w:val="0C51380D"/>
    <w:rsid w:val="13E41B23"/>
    <w:rsid w:val="166566E2"/>
    <w:rsid w:val="16AF11DC"/>
    <w:rsid w:val="1DB46D03"/>
    <w:rsid w:val="28753B26"/>
    <w:rsid w:val="29D73763"/>
    <w:rsid w:val="2ABA0F9C"/>
    <w:rsid w:val="30412461"/>
    <w:rsid w:val="3AB5760C"/>
    <w:rsid w:val="40CE6893"/>
    <w:rsid w:val="418909F5"/>
    <w:rsid w:val="568C300D"/>
    <w:rsid w:val="5FDD7DEF"/>
    <w:rsid w:val="63933E32"/>
    <w:rsid w:val="6DCF6ADD"/>
    <w:rsid w:val="6FC3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qFormat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User_x86</cp:lastModifiedBy>
  <cp:revision>19</cp:revision>
  <cp:lastPrinted>2023-04-05T06:05:00Z</cp:lastPrinted>
  <dcterms:created xsi:type="dcterms:W3CDTF">2016-03-17T04:56:00Z</dcterms:created>
  <dcterms:modified xsi:type="dcterms:W3CDTF">2024-07-17T04:27:00Z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FF0C0F4177644BDC9526D6A26AD23F0A</vt:lpwstr>
  </property>
</Properties>
</file>